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405"/>
        <w:gridCol w:w="3631"/>
      </w:tblGrid>
      <w:tr w:rsidR="00E9051B" w14:paraId="43CAED2B" w14:textId="77777777" w:rsidTr="00E9051B">
        <w:tc>
          <w:tcPr>
            <w:tcW w:w="3143" w:type="dxa"/>
          </w:tcPr>
          <w:p w14:paraId="3551B2FE" w14:textId="77777777" w:rsidR="00E9051B" w:rsidRDefault="00E9051B">
            <w:r>
              <w:rPr>
                <w:noProof/>
              </w:rPr>
              <w:drawing>
                <wp:inline distT="0" distB="0" distL="0" distR="0" wp14:anchorId="5D59707C" wp14:editId="4B3D2029">
                  <wp:extent cx="1973580" cy="987001"/>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4332" cy="992378"/>
                          </a:xfrm>
                          <a:prstGeom prst="rect">
                            <a:avLst/>
                          </a:prstGeom>
                        </pic:spPr>
                      </pic:pic>
                    </a:graphicData>
                  </a:graphic>
                </wp:inline>
              </w:drawing>
            </w:r>
          </w:p>
        </w:tc>
        <w:tc>
          <w:tcPr>
            <w:tcW w:w="2522" w:type="dxa"/>
          </w:tcPr>
          <w:p w14:paraId="1A4C8235" w14:textId="77777777" w:rsidR="00E9051B" w:rsidRDefault="00E9051B" w:rsidP="00E9051B">
            <w:pPr>
              <w:jc w:val="center"/>
            </w:pPr>
          </w:p>
        </w:tc>
        <w:tc>
          <w:tcPr>
            <w:tcW w:w="3685" w:type="dxa"/>
          </w:tcPr>
          <w:p w14:paraId="042BED1F" w14:textId="77777777" w:rsidR="00E9051B" w:rsidRPr="00E9051B" w:rsidRDefault="00E9051B" w:rsidP="00E9051B">
            <w:pPr>
              <w:jc w:val="right"/>
              <w:rPr>
                <w:b/>
                <w:bCs/>
                <w:sz w:val="20"/>
                <w:szCs w:val="20"/>
              </w:rPr>
            </w:pPr>
            <w:r w:rsidRPr="00E9051B">
              <w:rPr>
                <w:b/>
                <w:bCs/>
                <w:sz w:val="20"/>
                <w:szCs w:val="20"/>
              </w:rPr>
              <w:t>MEDIA CONTACT:</w:t>
            </w:r>
          </w:p>
          <w:p w14:paraId="243464C7" w14:textId="77777777" w:rsidR="00E9051B" w:rsidRDefault="00E9051B" w:rsidP="00E9051B">
            <w:pPr>
              <w:jc w:val="right"/>
              <w:rPr>
                <w:b/>
                <w:bCs/>
                <w:sz w:val="20"/>
                <w:szCs w:val="20"/>
              </w:rPr>
            </w:pPr>
          </w:p>
          <w:p w14:paraId="090AE7B6" w14:textId="77777777" w:rsidR="00E9051B" w:rsidRPr="00E9051B" w:rsidRDefault="00E9051B" w:rsidP="00E9051B">
            <w:pPr>
              <w:jc w:val="right"/>
              <w:rPr>
                <w:sz w:val="20"/>
                <w:szCs w:val="20"/>
              </w:rPr>
            </w:pPr>
            <w:r w:rsidRPr="00E9051B">
              <w:rPr>
                <w:sz w:val="20"/>
                <w:szCs w:val="20"/>
              </w:rPr>
              <w:t>Ryan Poe, Director of Communications</w:t>
            </w:r>
          </w:p>
          <w:p w14:paraId="0267D430" w14:textId="77777777" w:rsidR="00E9051B" w:rsidRPr="00E9051B" w:rsidRDefault="00E9051B" w:rsidP="00E9051B">
            <w:pPr>
              <w:jc w:val="right"/>
              <w:rPr>
                <w:sz w:val="20"/>
                <w:szCs w:val="20"/>
              </w:rPr>
            </w:pPr>
            <w:r w:rsidRPr="00E9051B">
              <w:rPr>
                <w:sz w:val="20"/>
                <w:szCs w:val="20"/>
              </w:rPr>
              <w:t>Greater Memphis Chamber</w:t>
            </w:r>
          </w:p>
          <w:p w14:paraId="6443E936" w14:textId="77777777" w:rsidR="00E9051B" w:rsidRPr="00E9051B" w:rsidRDefault="00E9051B" w:rsidP="00E9051B">
            <w:pPr>
              <w:jc w:val="right"/>
              <w:rPr>
                <w:sz w:val="20"/>
                <w:szCs w:val="20"/>
              </w:rPr>
            </w:pPr>
            <w:r w:rsidRPr="00E9051B">
              <w:rPr>
                <w:sz w:val="20"/>
                <w:szCs w:val="20"/>
              </w:rPr>
              <w:t>901-268-5074</w:t>
            </w:r>
            <w:r>
              <w:rPr>
                <w:sz w:val="20"/>
                <w:szCs w:val="20"/>
              </w:rPr>
              <w:t xml:space="preserve"> (m)</w:t>
            </w:r>
          </w:p>
          <w:p w14:paraId="1C56AA2B" w14:textId="77777777" w:rsidR="00E9051B" w:rsidRDefault="00E9051B" w:rsidP="00E9051B">
            <w:pPr>
              <w:jc w:val="right"/>
            </w:pPr>
            <w:r w:rsidRPr="00E9051B">
              <w:rPr>
                <w:sz w:val="20"/>
                <w:szCs w:val="20"/>
              </w:rPr>
              <w:t>rpoe@memphischamber.com</w:t>
            </w:r>
          </w:p>
        </w:tc>
      </w:tr>
    </w:tbl>
    <w:p w14:paraId="5AF95147" w14:textId="77777777" w:rsidR="005624D2" w:rsidRDefault="005624D2">
      <w:pPr>
        <w:rPr>
          <w:b/>
          <w:bCs/>
        </w:rPr>
      </w:pPr>
    </w:p>
    <w:p w14:paraId="29AFF5A6" w14:textId="77777777" w:rsidR="00E9051B" w:rsidRPr="00E9051B" w:rsidRDefault="00E9051B">
      <w:pPr>
        <w:rPr>
          <w:b/>
          <w:bCs/>
        </w:rPr>
      </w:pPr>
      <w:r w:rsidRPr="00E9051B">
        <w:rPr>
          <w:b/>
          <w:bCs/>
        </w:rPr>
        <w:t>FOR IMMEDIATE RELEASE</w:t>
      </w:r>
    </w:p>
    <w:p w14:paraId="5E6FA783" w14:textId="77777777" w:rsidR="00E9051B" w:rsidRPr="00C6537B" w:rsidRDefault="00234F47" w:rsidP="00C6537B">
      <w:pPr>
        <w:jc w:val="center"/>
        <w:rPr>
          <w:b/>
          <w:bCs/>
          <w:sz w:val="40"/>
          <w:szCs w:val="40"/>
        </w:rPr>
      </w:pPr>
      <w:r>
        <w:rPr>
          <w:b/>
          <w:bCs/>
          <w:sz w:val="40"/>
          <w:szCs w:val="40"/>
        </w:rPr>
        <w:t>Headline goes here</w:t>
      </w:r>
      <w:r w:rsidR="00C6537B">
        <w:rPr>
          <w:b/>
          <w:bCs/>
          <w:sz w:val="40"/>
          <w:szCs w:val="40"/>
        </w:rPr>
        <w:br/>
      </w:r>
      <w:r>
        <w:rPr>
          <w:i/>
          <w:iCs/>
          <w:sz w:val="32"/>
          <w:szCs w:val="32"/>
        </w:rPr>
        <w:t>Subhed goes here</w:t>
      </w:r>
    </w:p>
    <w:p w14:paraId="7634A7A9" w14:textId="77777777" w:rsidR="005B171A" w:rsidRDefault="005B171A" w:rsidP="005624D2">
      <w:pPr>
        <w:rPr>
          <w:b/>
          <w:bCs/>
        </w:rPr>
      </w:pPr>
    </w:p>
    <w:p w14:paraId="7C7A2DFE" w14:textId="203040DA" w:rsidR="00E21424" w:rsidRDefault="00E9051B" w:rsidP="005624D2">
      <w:r w:rsidRPr="00E9051B">
        <w:rPr>
          <w:b/>
          <w:bCs/>
        </w:rPr>
        <w:t>Memphis, Tennessee (</w:t>
      </w:r>
      <w:r w:rsidR="005624D2">
        <w:rPr>
          <w:b/>
          <w:bCs/>
        </w:rPr>
        <w:t>DAY/DATE</w:t>
      </w:r>
      <w:r w:rsidRPr="00E9051B">
        <w:rPr>
          <w:b/>
          <w:bCs/>
        </w:rPr>
        <w:t>)</w:t>
      </w:r>
      <w:r>
        <w:t xml:space="preserve"> —</w:t>
      </w:r>
      <w:r w:rsidR="00C6537B">
        <w:t xml:space="preserve"> </w:t>
      </w:r>
    </w:p>
    <w:p w14:paraId="76436E91" w14:textId="77777777" w:rsidR="005624D2" w:rsidRDefault="005624D2" w:rsidP="005624D2"/>
    <w:p w14:paraId="08A43B7A" w14:textId="4D2F1805" w:rsidR="005B171A" w:rsidRDefault="005B171A" w:rsidP="005624D2">
      <w:r>
        <w:t>NOTES:</w:t>
      </w:r>
    </w:p>
    <w:p w14:paraId="6F216520" w14:textId="5F74E28B" w:rsidR="008E578E" w:rsidRDefault="00426EB8" w:rsidP="005624D2">
      <w:r>
        <w:t>Growing</w:t>
      </w:r>
    </w:p>
    <w:p w14:paraId="1282E423" w14:textId="0EF0A475" w:rsidR="00426EB8" w:rsidRDefault="000905E9" w:rsidP="005624D2">
      <w:pPr>
        <w:pStyle w:val="ListParagraph"/>
        <w:numPr>
          <w:ilvl w:val="0"/>
          <w:numId w:val="1"/>
        </w:numPr>
      </w:pPr>
      <w:r>
        <w:t xml:space="preserve">2,517 food and beverage </w:t>
      </w:r>
      <w:r>
        <w:t xml:space="preserve">businesses employing </w:t>
      </w:r>
      <w:r w:rsidR="005B171A">
        <w:t>53,288 people</w:t>
      </w:r>
      <w:r w:rsidR="00872D8F">
        <w:t xml:space="preserve"> (jobs </w:t>
      </w:r>
      <w:r w:rsidR="00D37420">
        <w:t>up 5% from five years ago and 10% from 10 years ago</w:t>
      </w:r>
      <w:r w:rsidR="00872D8F">
        <w:t>)</w:t>
      </w:r>
    </w:p>
    <w:p w14:paraId="49EEDDD3" w14:textId="77777777" w:rsidR="000905E9" w:rsidRDefault="005B171A" w:rsidP="005624D2">
      <w:pPr>
        <w:pStyle w:val="ListParagraph"/>
        <w:numPr>
          <w:ilvl w:val="0"/>
          <w:numId w:val="1"/>
        </w:numPr>
      </w:pPr>
      <w:r>
        <w:t>$4.9B GDP in 2022</w:t>
      </w:r>
      <w:r w:rsidR="00426EB8">
        <w:t xml:space="preserve"> (</w:t>
      </w:r>
      <w:r>
        <w:t>41.5% cumulative GRP growth, 4% average annual GRP growth</w:t>
      </w:r>
      <w:r w:rsidR="000905E9">
        <w:t>,</w:t>
      </w:r>
      <w:r>
        <w:t xml:space="preserve"> 2012-2022</w:t>
      </w:r>
      <w:r w:rsidR="000905E9">
        <w:t>)</w:t>
      </w:r>
    </w:p>
    <w:p w14:paraId="3E84F042" w14:textId="574695D5" w:rsidR="005B171A" w:rsidRDefault="005B171A" w:rsidP="005624D2">
      <w:pPr>
        <w:pStyle w:val="ListParagraph"/>
        <w:numPr>
          <w:ilvl w:val="0"/>
          <w:numId w:val="1"/>
        </w:numPr>
      </w:pPr>
      <w:r>
        <w:t>818 monthly job postings (higher than average)</w:t>
      </w:r>
    </w:p>
    <w:p w14:paraId="2FE3BB6D" w14:textId="1DD63C8D" w:rsidR="00021804" w:rsidRDefault="00021804" w:rsidP="005624D2">
      <w:pPr>
        <w:pStyle w:val="ListParagraph"/>
        <w:numPr>
          <w:ilvl w:val="0"/>
          <w:numId w:val="1"/>
        </w:numPr>
      </w:pPr>
      <w:r>
        <w:t>Growth in Food &amp; Bev driven by manufacturing (up 23% compared to national avg. of 15%</w:t>
      </w:r>
      <w:r w:rsidR="000A5E55">
        <w:t>)</w:t>
      </w:r>
    </w:p>
    <w:p w14:paraId="0067DB1A" w14:textId="5A78640F" w:rsidR="005B171A" w:rsidRDefault="005B171A" w:rsidP="005624D2"/>
    <w:p w14:paraId="18D45E49" w14:textId="7241A7A8" w:rsidR="005B171A" w:rsidRDefault="005B171A" w:rsidP="005624D2">
      <w:r>
        <w:t>5% five</w:t>
      </w:r>
      <w:r w:rsidR="00D37420">
        <w:t>-</w:t>
      </w:r>
      <w:r>
        <w:t>year growth (2017-2022), 10% 10 year growth, driven by 23% increase in food and beverage manufacturing sector (1,137 jobs added in sector). Only 15% nationally in the same period.</w:t>
      </w:r>
    </w:p>
    <w:p w14:paraId="69D1DBEE" w14:textId="0D7E38D5" w:rsidR="005B171A" w:rsidRDefault="005B171A" w:rsidP="005624D2">
      <w:r>
        <w:t>Food &amp; Bev manufacturers: 116 companies that employ 6,886 people and contribute $2.6B to the GRP.</w:t>
      </w:r>
      <w:r w:rsidR="00863088">
        <w:t xml:space="preserve"> GRP contribution is exected to grow 11% over next five years, higher than national growth projection of 8%.</w:t>
      </w:r>
    </w:p>
    <w:p w14:paraId="2AC75008" w14:textId="4D1B4244" w:rsidR="00863088" w:rsidRDefault="00863088" w:rsidP="005624D2">
      <w:r>
        <w:t>This is a growth industry for us, already on a great trajectory.</w:t>
      </w:r>
    </w:p>
    <w:p w14:paraId="46D511E4" w14:textId="4329B1B6" w:rsidR="00863088" w:rsidRDefault="00863088" w:rsidP="005624D2">
      <w:r>
        <w:t>High velicity growth slide = jobs</w:t>
      </w:r>
    </w:p>
    <w:p w14:paraId="7D8E9E47" w14:textId="07A85BE2" w:rsidR="00863088" w:rsidRDefault="00863088" w:rsidP="005624D2">
      <w:r>
        <w:t>4,334 food distribution professionals – critical (supplies hotels, schools, etc.)</w:t>
      </w:r>
    </w:p>
    <w:p w14:paraId="19E928CF" w14:textId="7FB283A2" w:rsidR="00863088" w:rsidRDefault="000F0F41" w:rsidP="005624D2">
      <w:r>
        <w:t>Food &amp; Bev service establishments grew GRP by 53% between 2020 and 2022, showing resiliency, keeping people working – despite pandemic.</w:t>
      </w:r>
    </w:p>
    <w:p w14:paraId="382E06FB" w14:textId="5CD1A7FB" w:rsidR="005B171A" w:rsidRDefault="000F0F41" w:rsidP="005624D2">
      <w:r>
        <w:t>Logistics important because of durability of food – 14.5M tons (29B pounds) traveled in and out of market in 2022</w:t>
      </w:r>
    </w:p>
    <w:p w14:paraId="4032A0F7" w14:textId="4335CF7A" w:rsidR="000F0F41" w:rsidRDefault="000F0F41" w:rsidP="005624D2">
      <w:r>
        <w:lastRenderedPageBreak/>
        <w:t>23</w:t>
      </w:r>
      <w:r w:rsidRPr="000F0F41">
        <w:rPr>
          <w:vertAlign w:val="superscript"/>
        </w:rPr>
        <w:t>rd</w:t>
      </w:r>
      <w:r>
        <w:t xml:space="preserve"> largest metro exporter – 454.6M pounds exported with value of $4.9B, most bound for Southeast Asia.</w:t>
      </w:r>
    </w:p>
    <w:p w14:paraId="0390EB89" w14:textId="5C1B7244" w:rsidR="00D214BE" w:rsidRDefault="00133151" w:rsidP="005624D2">
      <w:r>
        <w:t xml:space="preserve">Rice: </w:t>
      </w:r>
      <w:r w:rsidR="00D214BE">
        <w:t>50% of rice produced domestically comes from this region, largest in world – thanks largely to Riviana. Rice milling GRP contribution has grown 2</w:t>
      </w:r>
      <w:r w:rsidR="000B342A">
        <w:t>3</w:t>
      </w:r>
      <w:r w:rsidR="00D214BE">
        <w:t>0% over last 10 years. Most rice milling jobs in nation (539 jobs).</w:t>
      </w:r>
    </w:p>
    <w:p w14:paraId="6900CD72" w14:textId="675987FB" w:rsidR="00D214BE" w:rsidRDefault="00133151" w:rsidP="005624D2">
      <w:r>
        <w:t xml:space="preserve">Confectionery: </w:t>
      </w:r>
      <w:r w:rsidR="00D214BE">
        <w:t>Confection</w:t>
      </w:r>
      <w:r w:rsidR="00212E91">
        <w:t>e</w:t>
      </w:r>
      <w:r w:rsidR="00D214BE">
        <w:t>ry manufacturers have seen 78% job growth in last five years (13 operations employing over 1,000 people). Expected to grow another 19% within next five years. Region is one of top 10 major metros for confectionery manufacturing professionals. (Tootsie Rolls made in Covington). No. 1 for location quotient (concentration of jobs locally vs average of nation)</w:t>
      </w:r>
      <w:r w:rsidR="000905E9">
        <w:t xml:space="preserve">. </w:t>
      </w:r>
      <w:r w:rsidR="000905E9">
        <w:t>Dinstuhl’s is oldest food manufacturer (1902)</w:t>
      </w:r>
      <w:r w:rsidR="000905E9">
        <w:t>.</w:t>
      </w:r>
    </w:p>
    <w:p w14:paraId="4BF5F4C8" w14:textId="0999C1CF" w:rsidR="00426EB8" w:rsidRDefault="00426EB8" w:rsidP="00426EB8">
      <w:r>
        <w:t xml:space="preserve">Diversity: </w:t>
      </w:r>
      <w:r>
        <w:t>Largest concentration of Black professionals in food and bev manufacturing, higher than state and national averages</w:t>
      </w:r>
      <w:r>
        <w:t xml:space="preserve">. </w:t>
      </w:r>
      <w:r>
        <w:t>57% diverse</w:t>
      </w:r>
      <w:r>
        <w:t>.</w:t>
      </w:r>
    </w:p>
    <w:p w14:paraId="5F9159D3" w14:textId="35BC8029" w:rsidR="00426EB8" w:rsidRDefault="00426EB8" w:rsidP="005624D2"/>
    <w:p w14:paraId="379DDA6C" w14:textId="3A621376" w:rsidR="00D214BE" w:rsidRDefault="00D214BE" w:rsidP="005624D2">
      <w:r>
        <w:t xml:space="preserve">Locally, innovation in the industry is mostly tied to agriculture/agtech. </w:t>
      </w:r>
    </w:p>
    <w:p w14:paraId="36F0CA66" w14:textId="77777777" w:rsidR="005A3F9E" w:rsidRDefault="005A3F9E" w:rsidP="005624D2"/>
    <w:p w14:paraId="13F5B647" w14:textId="77777777" w:rsidR="00E9051B" w:rsidRDefault="00E9051B">
      <w:pPr>
        <w:rPr>
          <w:rStyle w:val="eop"/>
          <w:rFonts w:ascii="Calibri" w:hAnsi="Calibri" w:cs="Calibri"/>
          <w:i/>
          <w:iCs/>
          <w:color w:val="000000"/>
          <w:shd w:val="clear" w:color="auto" w:fill="FFFFFF"/>
        </w:rPr>
      </w:pPr>
      <w:r w:rsidRPr="00E9051B">
        <w:rPr>
          <w:b/>
          <w:bCs/>
          <w:i/>
          <w:iCs/>
        </w:rPr>
        <w:t>About</w:t>
      </w:r>
      <w:r w:rsidRPr="00E9051B">
        <w:rPr>
          <w:rStyle w:val="normaltextrun"/>
          <w:rFonts w:ascii="Calibri" w:hAnsi="Calibri" w:cs="Calibri"/>
          <w:b/>
          <w:bCs/>
          <w:i/>
          <w:iCs/>
          <w:color w:val="000000"/>
          <w:shd w:val="clear" w:color="auto" w:fill="FFFFFF"/>
        </w:rPr>
        <w:t xml:space="preserve"> the Greater Memphis Chamber:</w:t>
      </w:r>
      <w:r w:rsidRPr="00E9051B">
        <w:rPr>
          <w:rStyle w:val="normaltextrun"/>
          <w:rFonts w:ascii="Calibri" w:hAnsi="Calibri" w:cs="Calibri"/>
          <w:i/>
          <w:iCs/>
          <w:color w:val="000000"/>
          <w:shd w:val="clear" w:color="auto" w:fill="FFFFFF"/>
        </w:rPr>
        <w:t xml:space="preserve"> One of Memphis’ oldest institutions, the Greater Memphis Chamber is a privately funded nonprofit that serves as the region’s lead economic development organization and the “Voice of Memphis Business” on local, state, and national issues. The Chamber relentlessly pursues prosperity for all — through economic and workforce development, pro-growth advocacy, and by providing support and resources to its investors, which include many of the region’s largest employers. For more information about the Chamber, visit </w:t>
      </w:r>
      <w:hyperlink r:id="rId6" w:tgtFrame="_blank" w:history="1">
        <w:r w:rsidRPr="00E9051B">
          <w:rPr>
            <w:rStyle w:val="normaltextrun"/>
            <w:rFonts w:ascii="Calibri" w:hAnsi="Calibri" w:cs="Calibri"/>
            <w:i/>
            <w:iCs/>
            <w:color w:val="0563C1"/>
            <w:u w:val="single"/>
            <w:shd w:val="clear" w:color="auto" w:fill="FFFFFF"/>
          </w:rPr>
          <w:t>memphischamber.com</w:t>
        </w:r>
      </w:hyperlink>
      <w:r w:rsidRPr="00E9051B">
        <w:rPr>
          <w:rStyle w:val="normaltextrun"/>
          <w:rFonts w:ascii="Calibri" w:hAnsi="Calibri" w:cs="Calibri"/>
          <w:i/>
          <w:iCs/>
          <w:color w:val="000000"/>
          <w:shd w:val="clear" w:color="auto" w:fill="FFFFFF"/>
        </w:rPr>
        <w:t xml:space="preserve"> and </w:t>
      </w:r>
      <w:hyperlink r:id="rId7" w:tgtFrame="_blank" w:history="1">
        <w:r w:rsidRPr="00E9051B">
          <w:rPr>
            <w:rStyle w:val="normaltextrun"/>
            <w:rFonts w:ascii="Calibri" w:hAnsi="Calibri" w:cs="Calibri"/>
            <w:i/>
            <w:iCs/>
            <w:color w:val="0563C1"/>
            <w:u w:val="single"/>
            <w:shd w:val="clear" w:color="auto" w:fill="FFFFFF"/>
          </w:rPr>
          <w:t>memphismoves.com</w:t>
        </w:r>
      </w:hyperlink>
      <w:r w:rsidRPr="00E9051B">
        <w:rPr>
          <w:rStyle w:val="normaltextrun"/>
          <w:rFonts w:ascii="Calibri" w:hAnsi="Calibri" w:cs="Calibri"/>
          <w:i/>
          <w:iCs/>
          <w:color w:val="000000"/>
          <w:shd w:val="clear" w:color="auto" w:fill="FFFFFF"/>
        </w:rPr>
        <w:t xml:space="preserve">. Also, follow the Chamber on </w:t>
      </w:r>
      <w:hyperlink r:id="rId8" w:tgtFrame="_blank" w:history="1">
        <w:r w:rsidRPr="00E9051B">
          <w:rPr>
            <w:rStyle w:val="normaltextrun"/>
            <w:rFonts w:ascii="Calibri" w:hAnsi="Calibri" w:cs="Calibri"/>
            <w:i/>
            <w:iCs/>
            <w:color w:val="0563C1"/>
            <w:u w:val="single"/>
            <w:shd w:val="clear" w:color="auto" w:fill="FFFFFF"/>
          </w:rPr>
          <w:t>Twitter</w:t>
        </w:r>
      </w:hyperlink>
      <w:r w:rsidRPr="00E9051B">
        <w:rPr>
          <w:rStyle w:val="normaltextrun"/>
          <w:rFonts w:ascii="Calibri" w:hAnsi="Calibri" w:cs="Calibri"/>
          <w:i/>
          <w:iCs/>
          <w:color w:val="000000"/>
          <w:shd w:val="clear" w:color="auto" w:fill="FFFFFF"/>
        </w:rPr>
        <w:t xml:space="preserve">, </w:t>
      </w:r>
      <w:hyperlink r:id="rId9" w:tgtFrame="_blank" w:history="1">
        <w:r w:rsidRPr="00E9051B">
          <w:rPr>
            <w:rStyle w:val="normaltextrun"/>
            <w:rFonts w:ascii="Calibri" w:hAnsi="Calibri" w:cs="Calibri"/>
            <w:i/>
            <w:iCs/>
            <w:color w:val="0563C1"/>
            <w:u w:val="single"/>
            <w:shd w:val="clear" w:color="auto" w:fill="FFFFFF"/>
          </w:rPr>
          <w:t>Facebook</w:t>
        </w:r>
      </w:hyperlink>
      <w:r w:rsidRPr="00E9051B">
        <w:rPr>
          <w:rStyle w:val="normaltextrun"/>
          <w:rFonts w:ascii="Calibri" w:hAnsi="Calibri" w:cs="Calibri"/>
          <w:i/>
          <w:iCs/>
          <w:color w:val="000000"/>
          <w:shd w:val="clear" w:color="auto" w:fill="FFFFFF"/>
        </w:rPr>
        <w:t xml:space="preserve">, </w:t>
      </w:r>
      <w:hyperlink r:id="rId10" w:tgtFrame="_blank" w:history="1">
        <w:r w:rsidRPr="00E9051B">
          <w:rPr>
            <w:rStyle w:val="normaltextrun"/>
            <w:rFonts w:ascii="Calibri" w:hAnsi="Calibri" w:cs="Calibri"/>
            <w:i/>
            <w:iCs/>
            <w:color w:val="0563C1"/>
            <w:u w:val="single"/>
            <w:shd w:val="clear" w:color="auto" w:fill="FFFFFF"/>
          </w:rPr>
          <w:t>LinkedIn</w:t>
        </w:r>
      </w:hyperlink>
      <w:r w:rsidRPr="00E9051B">
        <w:rPr>
          <w:rStyle w:val="normaltextrun"/>
          <w:rFonts w:ascii="Calibri" w:hAnsi="Calibri" w:cs="Calibri"/>
          <w:i/>
          <w:iCs/>
          <w:color w:val="000000"/>
          <w:shd w:val="clear" w:color="auto" w:fill="FFFFFF"/>
        </w:rPr>
        <w:t xml:space="preserve"> and </w:t>
      </w:r>
      <w:hyperlink r:id="rId11" w:tgtFrame="_blank" w:history="1">
        <w:r w:rsidRPr="00E9051B">
          <w:rPr>
            <w:rStyle w:val="normaltextrun"/>
            <w:rFonts w:ascii="Calibri" w:hAnsi="Calibri" w:cs="Calibri"/>
            <w:i/>
            <w:iCs/>
            <w:color w:val="0563C1"/>
            <w:u w:val="single"/>
            <w:shd w:val="clear" w:color="auto" w:fill="FFFFFF"/>
          </w:rPr>
          <w:t>Instagram</w:t>
        </w:r>
      </w:hyperlink>
      <w:r w:rsidRPr="00E9051B">
        <w:rPr>
          <w:rStyle w:val="normaltextrun"/>
          <w:rFonts w:ascii="Calibri" w:hAnsi="Calibri" w:cs="Calibri"/>
          <w:i/>
          <w:iCs/>
          <w:color w:val="000000"/>
          <w:shd w:val="clear" w:color="auto" w:fill="FFFFFF"/>
        </w:rPr>
        <w:t xml:space="preserve">, and sign up for its weekly newsletter, the </w:t>
      </w:r>
      <w:hyperlink r:id="rId12" w:tgtFrame="_blank" w:history="1">
        <w:r w:rsidRPr="00E9051B">
          <w:rPr>
            <w:rStyle w:val="normaltextrun"/>
            <w:rFonts w:ascii="Calibri" w:hAnsi="Calibri" w:cs="Calibri"/>
            <w:i/>
            <w:iCs/>
            <w:color w:val="0563C1"/>
            <w:u w:val="single"/>
            <w:shd w:val="clear" w:color="auto" w:fill="FFFFFF"/>
          </w:rPr>
          <w:t>Memphis Fourword</w:t>
        </w:r>
      </w:hyperlink>
      <w:r w:rsidRPr="00E9051B">
        <w:rPr>
          <w:rStyle w:val="normaltextrun"/>
          <w:rFonts w:ascii="Calibri" w:hAnsi="Calibri" w:cs="Calibri"/>
          <w:i/>
          <w:iCs/>
          <w:color w:val="000000"/>
          <w:shd w:val="clear" w:color="auto" w:fill="FFFFFF"/>
        </w:rPr>
        <w:t>.</w:t>
      </w:r>
      <w:r w:rsidRPr="00E9051B">
        <w:rPr>
          <w:rStyle w:val="eop"/>
          <w:rFonts w:ascii="Calibri" w:hAnsi="Calibri" w:cs="Calibri"/>
          <w:i/>
          <w:iCs/>
          <w:color w:val="000000"/>
          <w:shd w:val="clear" w:color="auto" w:fill="FFFFFF"/>
        </w:rPr>
        <w:t> </w:t>
      </w:r>
    </w:p>
    <w:p w14:paraId="545E702C" w14:textId="77777777" w:rsidR="00E21424" w:rsidRPr="00E21424" w:rsidRDefault="00E21424">
      <w:pPr>
        <w:rPr>
          <w:b/>
          <w:bCs/>
          <w:i/>
          <w:iCs/>
        </w:rPr>
      </w:pPr>
    </w:p>
    <w:p w14:paraId="46023288" w14:textId="77777777" w:rsidR="00E21424" w:rsidRPr="00E9051B" w:rsidRDefault="00E21424">
      <w:pPr>
        <w:rPr>
          <w:i/>
          <w:iCs/>
        </w:rPr>
      </w:pPr>
      <w:r>
        <w:rPr>
          <w:i/>
          <w:iCs/>
        </w:rPr>
        <w:t>###</w:t>
      </w:r>
    </w:p>
    <w:sectPr w:rsidR="00E21424" w:rsidRPr="00E9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485F"/>
    <w:multiLevelType w:val="hybridMultilevel"/>
    <w:tmpl w:val="31A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25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A"/>
    <w:rsid w:val="00021804"/>
    <w:rsid w:val="00080827"/>
    <w:rsid w:val="000823D4"/>
    <w:rsid w:val="000905E9"/>
    <w:rsid w:val="000A5E55"/>
    <w:rsid w:val="000B342A"/>
    <w:rsid w:val="000F0F41"/>
    <w:rsid w:val="00133151"/>
    <w:rsid w:val="00175A99"/>
    <w:rsid w:val="00212E91"/>
    <w:rsid w:val="00234F47"/>
    <w:rsid w:val="002A5A85"/>
    <w:rsid w:val="00395B97"/>
    <w:rsid w:val="003A5F5D"/>
    <w:rsid w:val="00426EB8"/>
    <w:rsid w:val="00480007"/>
    <w:rsid w:val="00486A22"/>
    <w:rsid w:val="005624D2"/>
    <w:rsid w:val="00594135"/>
    <w:rsid w:val="005A3F9E"/>
    <w:rsid w:val="005B171A"/>
    <w:rsid w:val="005D7AEE"/>
    <w:rsid w:val="00635FAF"/>
    <w:rsid w:val="006D1CC6"/>
    <w:rsid w:val="007146B6"/>
    <w:rsid w:val="00780A9F"/>
    <w:rsid w:val="007D788E"/>
    <w:rsid w:val="00863088"/>
    <w:rsid w:val="00871B06"/>
    <w:rsid w:val="00872D8F"/>
    <w:rsid w:val="008B6BB7"/>
    <w:rsid w:val="008E578E"/>
    <w:rsid w:val="0096621C"/>
    <w:rsid w:val="009B6EA5"/>
    <w:rsid w:val="009C1AC7"/>
    <w:rsid w:val="009D0831"/>
    <w:rsid w:val="00A73EB8"/>
    <w:rsid w:val="00AF3271"/>
    <w:rsid w:val="00B73839"/>
    <w:rsid w:val="00B80894"/>
    <w:rsid w:val="00BD7B75"/>
    <w:rsid w:val="00BF4A9D"/>
    <w:rsid w:val="00BF6F3E"/>
    <w:rsid w:val="00C6537B"/>
    <w:rsid w:val="00CF1CC7"/>
    <w:rsid w:val="00D214BE"/>
    <w:rsid w:val="00D37420"/>
    <w:rsid w:val="00D849AE"/>
    <w:rsid w:val="00E21424"/>
    <w:rsid w:val="00E9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6C3F"/>
  <w15:chartTrackingRefBased/>
  <w15:docId w15:val="{F1512B67-DEAF-4E7F-982D-E93A1DE5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051B"/>
  </w:style>
  <w:style w:type="character" w:customStyle="1" w:styleId="eop">
    <w:name w:val="eop"/>
    <w:basedOn w:val="DefaultParagraphFont"/>
    <w:rsid w:val="00E9051B"/>
  </w:style>
  <w:style w:type="table" w:styleId="TableGrid">
    <w:name w:val="Table Grid"/>
    <w:basedOn w:val="TableNormal"/>
    <w:uiPriority w:val="39"/>
    <w:rsid w:val="00E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mphischamb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phismoves.com/" TargetMode="External"/><Relationship Id="rId12" Type="http://schemas.openxmlformats.org/officeDocument/2006/relationships/hyperlink" Target="https://lp.constantcontactpages.com/su/uQL7BSu?source_id=d1b09dc9-c5c6-468a-803d-9f8f7d3b08eb&amp;source_type=em&amp;c=poGe9f2ekl9acrR-Omg8jezlGh8BmWaoebgrgca2jedp5npJcs4F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poe\Desktop\www.memphischamber.com" TargetMode="External"/><Relationship Id="rId11" Type="http://schemas.openxmlformats.org/officeDocument/2006/relationships/hyperlink" Target="https://www.instagram.com/memphischamber/" TargetMode="External"/><Relationship Id="rId5" Type="http://schemas.openxmlformats.org/officeDocument/2006/relationships/image" Target="media/image1.png"/><Relationship Id="rId10" Type="http://schemas.openxmlformats.org/officeDocument/2006/relationships/hyperlink" Target="https://www.linkedin.com/company/83560" TargetMode="External"/><Relationship Id="rId4" Type="http://schemas.openxmlformats.org/officeDocument/2006/relationships/webSettings" Target="webSettings.xml"/><Relationship Id="rId9" Type="http://schemas.openxmlformats.org/officeDocument/2006/relationships/hyperlink" Target="https://www.facebook.com/memphischamb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OneDrive%20-%20Greater%20Memphis%20Chamber\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Release template</Template>
  <TotalTime>277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12</cp:revision>
  <dcterms:created xsi:type="dcterms:W3CDTF">2023-10-18T16:02:00Z</dcterms:created>
  <dcterms:modified xsi:type="dcterms:W3CDTF">2023-10-23T19:08:00Z</dcterms:modified>
</cp:coreProperties>
</file>