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0"/>
      </w:tblGrid>
      <w:tr w:rsidR="00477CD5" w:rsidRPr="00827007" w14:paraId="48547082" w14:textId="77777777" w:rsidTr="00D07733">
        <w:tc>
          <w:tcPr>
            <w:tcW w:w="5310" w:type="dxa"/>
          </w:tcPr>
          <w:p w14:paraId="4F9080BF" w14:textId="77777777" w:rsidR="00477CD5" w:rsidRPr="00827007" w:rsidRDefault="00D07733" w:rsidP="00477CD5">
            <w:pPr>
              <w:rPr>
                <w:rFonts w:cstheme="minorHAnsi"/>
                <w:b/>
                <w:bCs/>
                <w:sz w:val="18"/>
                <w:szCs w:val="18"/>
              </w:rPr>
            </w:pPr>
            <w:r>
              <w:rPr>
                <w:rFonts w:cstheme="minorHAnsi"/>
                <w:noProof/>
              </w:rPr>
              <w:drawing>
                <wp:inline distT="0" distB="0" distL="0" distR="0" wp14:anchorId="4C0DB985" wp14:editId="45930360">
                  <wp:extent cx="2392172" cy="1196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734" cy="1251633"/>
                          </a:xfrm>
                          <a:prstGeom prst="rect">
                            <a:avLst/>
                          </a:prstGeom>
                        </pic:spPr>
                      </pic:pic>
                    </a:graphicData>
                  </a:graphic>
                </wp:inline>
              </w:drawing>
            </w:r>
          </w:p>
        </w:tc>
        <w:tc>
          <w:tcPr>
            <w:tcW w:w="4040" w:type="dxa"/>
          </w:tcPr>
          <w:p w14:paraId="75A7F6FA" w14:textId="77777777" w:rsidR="00D07733" w:rsidRDefault="00D07733" w:rsidP="00D07733">
            <w:pPr>
              <w:rPr>
                <w:rFonts w:cstheme="minorHAnsi"/>
                <w:b/>
                <w:bCs/>
                <w:color w:val="2F5496" w:themeColor="accent1" w:themeShade="BF"/>
                <w:sz w:val="20"/>
                <w:szCs w:val="20"/>
              </w:rPr>
            </w:pPr>
          </w:p>
          <w:p w14:paraId="47BABB9F" w14:textId="77777777" w:rsidR="0090797E" w:rsidRDefault="0090797E" w:rsidP="0090797E">
            <w:pPr>
              <w:jc w:val="right"/>
              <w:rPr>
                <w:rFonts w:cstheme="minorHAnsi"/>
                <w:b/>
                <w:bCs/>
                <w:color w:val="2F5496" w:themeColor="accent1" w:themeShade="BF"/>
                <w:sz w:val="20"/>
                <w:szCs w:val="20"/>
              </w:rPr>
            </w:pPr>
          </w:p>
          <w:p w14:paraId="61BCA4B1"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1D0703A7" w14:textId="77777777" w:rsidR="0090797E" w:rsidRDefault="00D07733" w:rsidP="0090797E">
            <w:pPr>
              <w:jc w:val="right"/>
              <w:rPr>
                <w:rFonts w:cstheme="minorHAnsi"/>
                <w:sz w:val="20"/>
                <w:szCs w:val="20"/>
              </w:rPr>
            </w:pPr>
            <w:r w:rsidRPr="00D07733">
              <w:rPr>
                <w:rFonts w:cstheme="minorHAnsi"/>
                <w:sz w:val="20"/>
                <w:szCs w:val="20"/>
              </w:rPr>
              <w:t>901-268-5074</w:t>
            </w:r>
          </w:p>
          <w:p w14:paraId="3123DFFB"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6A6CFA46" w14:textId="77777777" w:rsidR="00477CD5" w:rsidRPr="00827007" w:rsidRDefault="00477CD5" w:rsidP="009649D2">
      <w:pPr>
        <w:rPr>
          <w:rFonts w:cstheme="minorHAnsi"/>
          <w:b/>
          <w:bCs/>
        </w:rPr>
      </w:pPr>
    </w:p>
    <w:p w14:paraId="71CA4178" w14:textId="11FB81CE" w:rsidR="00FB0E2A" w:rsidRPr="00827007" w:rsidRDefault="00AF6E85" w:rsidP="00FB0E2A">
      <w:pPr>
        <w:jc w:val="center"/>
        <w:rPr>
          <w:rFonts w:cstheme="minorHAnsi"/>
          <w:sz w:val="28"/>
          <w:szCs w:val="28"/>
        </w:rPr>
      </w:pPr>
      <w:r w:rsidRPr="00AF6E85">
        <w:rPr>
          <w:rFonts w:cstheme="minorHAnsi"/>
          <w:b/>
          <w:bCs/>
          <w:sz w:val="36"/>
          <w:szCs w:val="36"/>
        </w:rPr>
        <w:t>New report shows Memphis remains a logistics powerhouse</w:t>
      </w:r>
      <w:r w:rsidR="0038178B" w:rsidRPr="00827007">
        <w:rPr>
          <w:rFonts w:cstheme="minorHAnsi"/>
          <w:sz w:val="28"/>
          <w:szCs w:val="28"/>
        </w:rPr>
        <w:br/>
      </w:r>
      <w:r>
        <w:rPr>
          <w:rFonts w:cstheme="minorHAnsi"/>
          <w:i/>
          <w:iCs/>
          <w:sz w:val="28"/>
          <w:szCs w:val="28"/>
        </w:rPr>
        <w:t>Industry’s regional output grew 51%</w:t>
      </w:r>
      <w:r w:rsidR="006E33A3">
        <w:rPr>
          <w:rFonts w:cstheme="minorHAnsi"/>
          <w:i/>
          <w:iCs/>
          <w:sz w:val="28"/>
          <w:szCs w:val="28"/>
        </w:rPr>
        <w:t xml:space="preserve"> while</w:t>
      </w:r>
      <w:r>
        <w:rPr>
          <w:rFonts w:cstheme="minorHAnsi"/>
          <w:i/>
          <w:iCs/>
          <w:sz w:val="28"/>
          <w:szCs w:val="28"/>
        </w:rPr>
        <w:t xml:space="preserve"> </w:t>
      </w:r>
      <w:r w:rsidR="006E33A3">
        <w:rPr>
          <w:rFonts w:cstheme="minorHAnsi"/>
          <w:i/>
          <w:iCs/>
          <w:sz w:val="28"/>
          <w:szCs w:val="28"/>
        </w:rPr>
        <w:t xml:space="preserve">jobs </w:t>
      </w:r>
      <w:r>
        <w:rPr>
          <w:rFonts w:cstheme="minorHAnsi"/>
          <w:i/>
          <w:iCs/>
          <w:sz w:val="28"/>
          <w:szCs w:val="28"/>
        </w:rPr>
        <w:t>grew 25% from 2012-2022</w:t>
      </w:r>
    </w:p>
    <w:p w14:paraId="34597FCF" w14:textId="2BB4F3F6" w:rsidR="00827007" w:rsidRPr="00827007" w:rsidRDefault="00AF6E85" w:rsidP="00827007">
      <w:pPr>
        <w:pStyle w:val="ListParagraph"/>
        <w:numPr>
          <w:ilvl w:val="0"/>
          <w:numId w:val="1"/>
        </w:numPr>
        <w:rPr>
          <w:rFonts w:cstheme="minorHAnsi"/>
        </w:rPr>
      </w:pPr>
      <w:r>
        <w:rPr>
          <w:rFonts w:cstheme="minorHAnsi"/>
        </w:rPr>
        <w:t>The Greater Memphis Chamber released its 2022 Greater Memphis Market Supply Chain &amp; Logistics Industry Report on April 19, the latest in a monthly series of industry reports.</w:t>
      </w:r>
    </w:p>
    <w:p w14:paraId="4C9D07E5" w14:textId="57FFEAE0" w:rsidR="00AF6E85" w:rsidRDefault="00AF6E85" w:rsidP="00AF6E85">
      <w:pPr>
        <w:pStyle w:val="ListParagraph"/>
        <w:numPr>
          <w:ilvl w:val="0"/>
          <w:numId w:val="1"/>
        </w:numPr>
        <w:rPr>
          <w:rFonts w:cstheme="minorHAnsi"/>
        </w:rPr>
      </w:pPr>
      <w:r>
        <w:rPr>
          <w:rFonts w:cstheme="minorHAnsi"/>
        </w:rPr>
        <w:t>In Greater Memphis, the supply chain and logistics industry’s workforce has grown 25% over the past decade to reach more than 119,000 people at more than 3,600 companies in 2022.</w:t>
      </w:r>
    </w:p>
    <w:p w14:paraId="0FE26A4C" w14:textId="574362EB" w:rsidR="00AF6E85" w:rsidRDefault="00AF6E85" w:rsidP="00AF6E85">
      <w:pPr>
        <w:pStyle w:val="ListParagraph"/>
        <w:numPr>
          <w:ilvl w:val="0"/>
          <w:numId w:val="1"/>
        </w:numPr>
        <w:rPr>
          <w:rFonts w:cstheme="minorHAnsi"/>
        </w:rPr>
      </w:pPr>
      <w:r>
        <w:rPr>
          <w:rFonts w:cstheme="minorHAnsi"/>
        </w:rPr>
        <w:t>Greater Memphis has</w:t>
      </w:r>
      <w:r w:rsidR="00AE689F">
        <w:rPr>
          <w:rFonts w:cstheme="minorHAnsi"/>
        </w:rPr>
        <w:t xml:space="preserve"> the</w:t>
      </w:r>
      <w:r>
        <w:rPr>
          <w:rFonts w:cstheme="minorHAnsi"/>
        </w:rPr>
        <w:t xml:space="preserve"> highe</w:t>
      </w:r>
      <w:r w:rsidR="00AE689F">
        <w:rPr>
          <w:rFonts w:cstheme="minorHAnsi"/>
        </w:rPr>
        <w:t>st</w:t>
      </w:r>
      <w:r>
        <w:rPr>
          <w:rFonts w:cstheme="minorHAnsi"/>
        </w:rPr>
        <w:t xml:space="preserve"> concentration of Black </w:t>
      </w:r>
      <w:r w:rsidR="00AE689F">
        <w:rPr>
          <w:rFonts w:cstheme="minorHAnsi"/>
        </w:rPr>
        <w:t xml:space="preserve">supply chain and logistics </w:t>
      </w:r>
      <w:r>
        <w:rPr>
          <w:rFonts w:cstheme="minorHAnsi"/>
        </w:rPr>
        <w:t xml:space="preserve">talent </w:t>
      </w:r>
      <w:r w:rsidR="00AE689F">
        <w:rPr>
          <w:rFonts w:cstheme="minorHAnsi"/>
        </w:rPr>
        <w:t xml:space="preserve">of any </w:t>
      </w:r>
      <w:r>
        <w:rPr>
          <w:rFonts w:cstheme="minorHAnsi"/>
        </w:rPr>
        <w:t>major U.S. metr</w:t>
      </w:r>
      <w:r w:rsidR="00AE689F">
        <w:rPr>
          <w:rFonts w:cstheme="minorHAnsi"/>
        </w:rPr>
        <w:t>o</w:t>
      </w:r>
      <w:r>
        <w:rPr>
          <w:rFonts w:cstheme="minorHAnsi"/>
        </w:rPr>
        <w:t xml:space="preserve"> and </w:t>
      </w:r>
      <w:r w:rsidR="00AE689F">
        <w:rPr>
          <w:rFonts w:cstheme="minorHAnsi"/>
        </w:rPr>
        <w:t>the</w:t>
      </w:r>
      <w:r>
        <w:rPr>
          <w:rFonts w:cstheme="minorHAnsi"/>
        </w:rPr>
        <w:t xml:space="preserve"> highe</w:t>
      </w:r>
      <w:r w:rsidR="00AE689F">
        <w:rPr>
          <w:rFonts w:cstheme="minorHAnsi"/>
        </w:rPr>
        <w:t>st</w:t>
      </w:r>
      <w:r>
        <w:rPr>
          <w:rFonts w:cstheme="minorHAnsi"/>
        </w:rPr>
        <w:t xml:space="preserve"> concentration of female talent </w:t>
      </w:r>
      <w:r w:rsidR="00AE689F">
        <w:rPr>
          <w:rFonts w:cstheme="minorHAnsi"/>
        </w:rPr>
        <w:t>of</w:t>
      </w:r>
      <w:r>
        <w:rPr>
          <w:rFonts w:cstheme="minorHAnsi"/>
        </w:rPr>
        <w:t xml:space="preserve"> </w:t>
      </w:r>
      <w:r w:rsidR="00AE689F">
        <w:rPr>
          <w:rFonts w:cstheme="minorHAnsi"/>
        </w:rPr>
        <w:t>its</w:t>
      </w:r>
      <w:r>
        <w:rPr>
          <w:rFonts w:cstheme="minorHAnsi"/>
        </w:rPr>
        <w:t xml:space="preserve"> peer</w:t>
      </w:r>
      <w:r w:rsidR="00AE689F">
        <w:rPr>
          <w:rFonts w:cstheme="minorHAnsi"/>
        </w:rPr>
        <w:t xml:space="preserve"> metros</w:t>
      </w:r>
      <w:r>
        <w:rPr>
          <w:rFonts w:cstheme="minorHAnsi"/>
        </w:rPr>
        <w:t xml:space="preserve">. </w:t>
      </w:r>
    </w:p>
    <w:p w14:paraId="7200279B" w14:textId="3B4297DE" w:rsidR="00AE689F" w:rsidRPr="00827007" w:rsidRDefault="00AE689F" w:rsidP="00AF6E85">
      <w:pPr>
        <w:pStyle w:val="ListParagraph"/>
        <w:numPr>
          <w:ilvl w:val="0"/>
          <w:numId w:val="1"/>
        </w:numPr>
        <w:rPr>
          <w:rFonts w:cstheme="minorHAnsi"/>
        </w:rPr>
      </w:pPr>
      <w:r>
        <w:rPr>
          <w:rFonts w:cstheme="minorHAnsi"/>
        </w:rPr>
        <w:t xml:space="preserve">This and other industry reports are available for purchase at </w:t>
      </w:r>
      <w:hyperlink r:id="rId12" w:history="1">
        <w:r w:rsidRPr="00AE689F">
          <w:rPr>
            <w:rStyle w:val="Hyperlink"/>
            <w:rFonts w:cstheme="minorHAnsi"/>
          </w:rPr>
          <w:t>MemphisChamberReports.com</w:t>
        </w:r>
      </w:hyperlink>
      <w:r>
        <w:rPr>
          <w:rFonts w:cstheme="minorHAnsi"/>
        </w:rPr>
        <w:t>.</w:t>
      </w:r>
    </w:p>
    <w:p w14:paraId="2BBB35D5" w14:textId="145A7409" w:rsidR="00E92CEE" w:rsidRDefault="7AE09629" w:rsidP="0038178B">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AF6E85">
        <w:rPr>
          <w:rFonts w:cstheme="minorHAnsi"/>
          <w:b/>
          <w:bCs/>
        </w:rPr>
        <w:t>Wednesday, 4/19/23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E92CEE">
        <w:rPr>
          <w:rFonts w:cstheme="minorHAnsi"/>
        </w:rPr>
        <w:t xml:space="preserve">Long </w:t>
      </w:r>
      <w:r w:rsidR="00BF7D74">
        <w:rPr>
          <w:rFonts w:cstheme="minorHAnsi"/>
        </w:rPr>
        <w:t>known as t</w:t>
      </w:r>
      <w:r w:rsidR="00E92CEE">
        <w:rPr>
          <w:rFonts w:cstheme="minorHAnsi"/>
        </w:rPr>
        <w:t>he “Supply Chain Capital of the World</w:t>
      </w:r>
      <w:r w:rsidR="00BF7D74">
        <w:rPr>
          <w:rFonts w:cstheme="minorHAnsi"/>
        </w:rPr>
        <w:t xml:space="preserve">” and “America’s Distribution Center,” </w:t>
      </w:r>
      <w:r w:rsidR="00E92CEE">
        <w:rPr>
          <w:rFonts w:cstheme="minorHAnsi"/>
        </w:rPr>
        <w:t xml:space="preserve">Greater Memphis remains the leading U.S. metro for the </w:t>
      </w:r>
      <w:r w:rsidR="00BF7D74">
        <w:rPr>
          <w:rFonts w:cstheme="minorHAnsi"/>
        </w:rPr>
        <w:t>supply chain and logistics industry</w:t>
      </w:r>
      <w:r w:rsidR="00E92CEE">
        <w:rPr>
          <w:rFonts w:cstheme="minorHAnsi"/>
        </w:rPr>
        <w:t>, according to a new report from the Greater Memphis Chamber’s research arm.</w:t>
      </w:r>
    </w:p>
    <w:p w14:paraId="7FC8EFE9" w14:textId="6C54885F" w:rsidR="00482B78" w:rsidRDefault="00BF7D74" w:rsidP="00E92CEE">
      <w:pPr>
        <w:rPr>
          <w:rFonts w:cstheme="minorHAnsi"/>
        </w:rPr>
      </w:pPr>
      <w:r>
        <w:rPr>
          <w:rFonts w:cstheme="minorHAnsi"/>
        </w:rPr>
        <w:t>In 2022, the industry accounted for more</w:t>
      </w:r>
      <w:r w:rsidR="00F95BE6">
        <w:rPr>
          <w:rFonts w:cstheme="minorHAnsi"/>
        </w:rPr>
        <w:t xml:space="preserve"> than 3,600 companies</w:t>
      </w:r>
      <w:r>
        <w:rPr>
          <w:rFonts w:cstheme="minorHAnsi"/>
        </w:rPr>
        <w:t xml:space="preserve"> employing</w:t>
      </w:r>
      <w:r w:rsidR="003E181A">
        <w:rPr>
          <w:rFonts w:cstheme="minorHAnsi"/>
        </w:rPr>
        <w:t xml:space="preserve"> </w:t>
      </w:r>
      <w:r w:rsidR="0045104D">
        <w:rPr>
          <w:rFonts w:cstheme="minorHAnsi"/>
        </w:rPr>
        <w:t>1</w:t>
      </w:r>
      <w:r>
        <w:rPr>
          <w:rFonts w:cstheme="minorHAnsi"/>
        </w:rPr>
        <w:t>19</w:t>
      </w:r>
      <w:r w:rsidR="0045104D">
        <w:rPr>
          <w:rFonts w:cstheme="minorHAnsi"/>
        </w:rPr>
        <w:t>,000 people</w:t>
      </w:r>
      <w:r w:rsidR="003E181A">
        <w:rPr>
          <w:rFonts w:cstheme="minorHAnsi"/>
        </w:rPr>
        <w:t xml:space="preserve"> </w:t>
      </w:r>
      <w:r w:rsidR="0045104D">
        <w:rPr>
          <w:rFonts w:cstheme="minorHAnsi"/>
        </w:rPr>
        <w:t xml:space="preserve">in the Memphis Metropolitan Statistical Area (MSA), </w:t>
      </w:r>
      <w:r w:rsidR="00BE1F52">
        <w:rPr>
          <w:rFonts w:cstheme="minorHAnsi"/>
        </w:rPr>
        <w:t xml:space="preserve">a higher concentration than in </w:t>
      </w:r>
      <w:r w:rsidR="0045104D">
        <w:rPr>
          <w:rFonts w:cstheme="minorHAnsi"/>
        </w:rPr>
        <w:t xml:space="preserve">any other </w:t>
      </w:r>
      <w:r w:rsidR="00BE1F52">
        <w:rPr>
          <w:rFonts w:cstheme="minorHAnsi"/>
        </w:rPr>
        <w:t xml:space="preserve">U.S. </w:t>
      </w:r>
      <w:r w:rsidR="0045104D">
        <w:rPr>
          <w:rFonts w:cstheme="minorHAnsi"/>
        </w:rPr>
        <w:t>metro, according to the newly released 2022 Greater Memphis Market Supply Chain &amp; Logistics Industry Report from the Chamber’s Greater Memphis Economic Research Group, or GMERG (pronounced ‘G-merge’).</w:t>
      </w:r>
    </w:p>
    <w:p w14:paraId="020097AE" w14:textId="4F3F77BC" w:rsidR="00482B78" w:rsidRDefault="00482B78" w:rsidP="00E92CEE">
      <w:pPr>
        <w:rPr>
          <w:rFonts w:cstheme="minorHAnsi"/>
        </w:rPr>
      </w:pPr>
      <w:r>
        <w:rPr>
          <w:rFonts w:cstheme="minorHAnsi"/>
        </w:rPr>
        <w:t xml:space="preserve">The Supply Chain &amp; Logistics Industry Report, along with other GMERG industry reports, are available for purchase at </w:t>
      </w:r>
      <w:hyperlink r:id="rId13" w:history="1">
        <w:r w:rsidRPr="00482B78">
          <w:rPr>
            <w:rStyle w:val="Hyperlink"/>
            <w:rFonts w:cstheme="minorHAnsi"/>
          </w:rPr>
          <w:t>MemphisChamberReports.com</w:t>
        </w:r>
      </w:hyperlink>
      <w:r>
        <w:rPr>
          <w:rFonts w:cstheme="minorHAnsi"/>
        </w:rPr>
        <w:t>.</w:t>
      </w:r>
    </w:p>
    <w:p w14:paraId="53B73D68" w14:textId="670DE369" w:rsidR="000E6FE3" w:rsidRDefault="000E6FE3" w:rsidP="00E92CEE">
      <w:pPr>
        <w:rPr>
          <w:rFonts w:cstheme="minorHAnsi"/>
        </w:rPr>
      </w:pPr>
      <w:r>
        <w:rPr>
          <w:rFonts w:cstheme="minorHAnsi"/>
        </w:rPr>
        <w:t xml:space="preserve">The number </w:t>
      </w:r>
      <w:r w:rsidR="00BF7D74">
        <w:rPr>
          <w:rFonts w:cstheme="minorHAnsi"/>
        </w:rPr>
        <w:t>of</w:t>
      </w:r>
      <w:r>
        <w:rPr>
          <w:rFonts w:cstheme="minorHAnsi"/>
        </w:rPr>
        <w:t xml:space="preserve"> jobs </w:t>
      </w:r>
      <w:r w:rsidR="00BF7D74">
        <w:rPr>
          <w:rFonts w:cstheme="minorHAnsi"/>
        </w:rPr>
        <w:t xml:space="preserve">in the industry </w:t>
      </w:r>
      <w:r>
        <w:rPr>
          <w:rFonts w:cstheme="minorHAnsi"/>
        </w:rPr>
        <w:t xml:space="preserve">is also on the rise </w:t>
      </w:r>
      <w:r w:rsidR="00BF7D74">
        <w:rPr>
          <w:rFonts w:cstheme="minorHAnsi"/>
        </w:rPr>
        <w:t xml:space="preserve">in the region, having </w:t>
      </w:r>
      <w:r>
        <w:rPr>
          <w:rFonts w:cstheme="minorHAnsi"/>
        </w:rPr>
        <w:t>grown 25% since 2012 (an addition of 24,000 jobs) and 16% since 2017 (compared to a national average of 11%).</w:t>
      </w:r>
    </w:p>
    <w:p w14:paraId="1ADA2EEE" w14:textId="72D3792C" w:rsidR="00BF7D74" w:rsidRDefault="00BF7D74" w:rsidP="00E92CEE">
      <w:pPr>
        <w:rPr>
          <w:rFonts w:cstheme="minorHAnsi"/>
        </w:rPr>
      </w:pPr>
      <w:r>
        <w:rPr>
          <w:rFonts w:cstheme="minorHAnsi"/>
        </w:rPr>
        <w:t>“When you look at the value of goods and services produced in our region, the supply chain and logistics industry contributed $18.9 billion in 2022</w:t>
      </w:r>
      <w:r w:rsidR="00DB46D9">
        <w:rPr>
          <w:rFonts w:cstheme="minorHAnsi"/>
        </w:rPr>
        <w:t>, which is up a staggering 51% compared to a decade ago</w:t>
      </w:r>
      <w:r>
        <w:rPr>
          <w:rFonts w:cstheme="minorHAnsi"/>
        </w:rPr>
        <w:t>,” said Ted Townsend, president &amp; CEO of the Greater Memphis Chamber. “</w:t>
      </w:r>
      <w:r w:rsidR="00DB46D9">
        <w:rPr>
          <w:rFonts w:cstheme="minorHAnsi"/>
        </w:rPr>
        <w:t xml:space="preserve">Memphis is the global logistics leader because of the four ‘Rs’: runway, river, road, and rail. </w:t>
      </w:r>
      <w:r>
        <w:rPr>
          <w:rFonts w:cstheme="minorHAnsi"/>
        </w:rPr>
        <w:t xml:space="preserve">We have the busiest cargo airport in the U.S. and second busiest in the world, the third busiest trucking corridor, five Class I railroads, and the fifth largest inland port in the U.S. </w:t>
      </w:r>
      <w:r w:rsidR="00DB46D9">
        <w:rPr>
          <w:rFonts w:cstheme="minorHAnsi"/>
        </w:rPr>
        <w:t>We are always open, always moving, 24/7, 365 days a year.”</w:t>
      </w:r>
    </w:p>
    <w:p w14:paraId="64DCC0FA" w14:textId="612A8E8B" w:rsidR="007E0229" w:rsidRDefault="007E0229" w:rsidP="007E0229">
      <w:pPr>
        <w:rPr>
          <w:rFonts w:cstheme="minorHAnsi"/>
        </w:rPr>
      </w:pPr>
      <w:r>
        <w:rPr>
          <w:rFonts w:cstheme="minorHAnsi"/>
        </w:rPr>
        <w:t xml:space="preserve">In addition to its double-digit growth over the past five years, </w:t>
      </w:r>
      <w:r w:rsidRPr="007E0229">
        <w:rPr>
          <w:rFonts w:cstheme="minorHAnsi"/>
        </w:rPr>
        <w:t>the region is expected to add</w:t>
      </w:r>
      <w:r>
        <w:rPr>
          <w:rFonts w:cstheme="minorHAnsi"/>
        </w:rPr>
        <w:t xml:space="preserve"> </w:t>
      </w:r>
      <w:r w:rsidRPr="007E0229">
        <w:rPr>
          <w:rFonts w:cstheme="minorHAnsi"/>
        </w:rPr>
        <w:t>another 7,800 jobs in the next</w:t>
      </w:r>
      <w:r>
        <w:rPr>
          <w:rFonts w:cstheme="minorHAnsi"/>
        </w:rPr>
        <w:t xml:space="preserve"> five years, according to the report.</w:t>
      </w:r>
    </w:p>
    <w:p w14:paraId="548251A8" w14:textId="714A4AA9" w:rsidR="00DB46D9" w:rsidRDefault="00BF7D74" w:rsidP="00E92CEE">
      <w:pPr>
        <w:rPr>
          <w:rFonts w:cstheme="minorHAnsi"/>
        </w:rPr>
      </w:pPr>
      <w:r>
        <w:rPr>
          <w:rFonts w:cstheme="minorHAnsi"/>
        </w:rPr>
        <w:t>The industry’s local workforce is</w:t>
      </w:r>
      <w:r w:rsidR="000E6FE3">
        <w:rPr>
          <w:rFonts w:cstheme="minorHAnsi"/>
        </w:rPr>
        <w:t xml:space="preserve"> </w:t>
      </w:r>
      <w:r>
        <w:rPr>
          <w:rFonts w:cstheme="minorHAnsi"/>
        </w:rPr>
        <w:t xml:space="preserve">also </w:t>
      </w:r>
      <w:r w:rsidR="000E6FE3">
        <w:rPr>
          <w:rFonts w:cstheme="minorHAnsi"/>
        </w:rPr>
        <w:t xml:space="preserve">one of the most inclusive in the nation. </w:t>
      </w:r>
    </w:p>
    <w:p w14:paraId="7F73D305" w14:textId="77777777" w:rsidR="00AE689F" w:rsidRDefault="00AE689F" w:rsidP="00E92CEE">
      <w:pPr>
        <w:rPr>
          <w:rFonts w:cstheme="minorHAnsi"/>
        </w:rPr>
      </w:pPr>
      <w:r w:rsidRPr="00AE689F">
        <w:rPr>
          <w:rFonts w:cstheme="minorHAnsi"/>
        </w:rPr>
        <w:lastRenderedPageBreak/>
        <w:t xml:space="preserve">“One of the most positive trends for Memphis is that we are a national leader in welcoming diverse talent to our workforce,” said Tecora Murray, executive director of GMERG. “We take pride in the fact that the supply chain and logistics industry in Greater Memphis has the highest concentration of professionals who identify as Black among all major metropolitan areas in the </w:t>
      </w:r>
      <w:r>
        <w:rPr>
          <w:rFonts w:cstheme="minorHAnsi"/>
        </w:rPr>
        <w:t>U.S</w:t>
      </w:r>
      <w:r w:rsidRPr="00AE689F">
        <w:rPr>
          <w:rFonts w:cstheme="minorHAnsi"/>
        </w:rPr>
        <w:t>. Additionally, our city stands out among its peers with the largest concentration of female professionals in this industry, with females comprising 35% of the total workforce, surpassing the national average of 30.7%.</w:t>
      </w:r>
      <w:r>
        <w:rPr>
          <w:rFonts w:cstheme="minorHAnsi"/>
        </w:rPr>
        <w:t>”</w:t>
      </w:r>
    </w:p>
    <w:p w14:paraId="48734384" w14:textId="2F7D92C1" w:rsidR="001A3D40" w:rsidRPr="00827007" w:rsidRDefault="001A3D40" w:rsidP="00E92CEE">
      <w:pPr>
        <w:rPr>
          <w:rFonts w:cstheme="minorHAnsi"/>
        </w:rPr>
      </w:pPr>
      <w:r>
        <w:rPr>
          <w:rFonts w:cstheme="minorHAnsi"/>
        </w:rPr>
        <w:t xml:space="preserve">The 2022 Greater Memphis Market Supply Chain &amp; Logistics Industry Report was </w:t>
      </w:r>
      <w:r w:rsidRPr="001A3D40">
        <w:rPr>
          <w:rFonts w:cstheme="minorHAnsi"/>
        </w:rPr>
        <w:t>sponsored by Novo Nordisk.</w:t>
      </w:r>
    </w:p>
    <w:p w14:paraId="0851FAC3" w14:textId="77777777"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4"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5"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6"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7"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8"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9"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0" w:history="1">
        <w:r w:rsidRPr="00827007">
          <w:rPr>
            <w:rStyle w:val="Hyperlink"/>
            <w:rFonts w:cstheme="minorHAnsi"/>
            <w:i/>
            <w:iCs/>
          </w:rPr>
          <w:t xml:space="preserve">Memphis </w:t>
        </w:r>
        <w:proofErr w:type="spellStart"/>
        <w:r w:rsidRPr="00827007">
          <w:rPr>
            <w:rStyle w:val="Hyperlink"/>
            <w:rFonts w:cstheme="minorHAnsi"/>
            <w:i/>
            <w:iCs/>
          </w:rPr>
          <w:t>Fourword</w:t>
        </w:r>
        <w:proofErr w:type="spellEnd"/>
      </w:hyperlink>
      <w:r w:rsidRPr="00827007">
        <w:rPr>
          <w:rStyle w:val="normaltextrun"/>
          <w:rFonts w:cstheme="minorHAnsi"/>
          <w:i/>
          <w:iCs/>
          <w:color w:val="000000"/>
          <w:shd w:val="clear" w:color="auto" w:fill="FFFFFF"/>
        </w:rPr>
        <w:t>.</w:t>
      </w:r>
    </w:p>
    <w:sectPr w:rsidR="00D63395" w:rsidRPr="0082700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4EDB" w14:textId="77777777" w:rsidR="0034013B" w:rsidRDefault="0034013B" w:rsidP="00477CD5">
      <w:pPr>
        <w:spacing w:after="0" w:line="240" w:lineRule="auto"/>
      </w:pPr>
      <w:r>
        <w:separator/>
      </w:r>
    </w:p>
  </w:endnote>
  <w:endnote w:type="continuationSeparator" w:id="0">
    <w:p w14:paraId="30FD8A68" w14:textId="77777777" w:rsidR="0034013B" w:rsidRDefault="0034013B"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556AD90F" w14:textId="77777777" w:rsidTr="29B8EDCE">
      <w:tc>
        <w:tcPr>
          <w:tcW w:w="3120" w:type="dxa"/>
        </w:tcPr>
        <w:p w14:paraId="5D6AE263" w14:textId="77777777" w:rsidR="29B8EDCE" w:rsidRDefault="29B8EDCE" w:rsidP="29B8EDCE">
          <w:pPr>
            <w:pStyle w:val="Header"/>
            <w:ind w:left="-115"/>
          </w:pPr>
        </w:p>
      </w:tc>
      <w:tc>
        <w:tcPr>
          <w:tcW w:w="3120" w:type="dxa"/>
        </w:tcPr>
        <w:p w14:paraId="687BD7E3" w14:textId="77777777" w:rsidR="29B8EDCE" w:rsidRDefault="29B8EDCE" w:rsidP="29B8EDCE">
          <w:pPr>
            <w:pStyle w:val="Header"/>
            <w:jc w:val="center"/>
          </w:pPr>
        </w:p>
      </w:tc>
      <w:tc>
        <w:tcPr>
          <w:tcW w:w="3120" w:type="dxa"/>
        </w:tcPr>
        <w:p w14:paraId="72161D31" w14:textId="77777777" w:rsidR="29B8EDCE" w:rsidRDefault="29B8EDCE" w:rsidP="29B8EDCE">
          <w:pPr>
            <w:pStyle w:val="Header"/>
            <w:ind w:right="-115"/>
            <w:jc w:val="right"/>
          </w:pPr>
        </w:p>
      </w:tc>
    </w:tr>
  </w:tbl>
  <w:p w14:paraId="7F1602D1"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8E7F" w14:textId="77777777" w:rsidR="0034013B" w:rsidRDefault="0034013B" w:rsidP="00477CD5">
      <w:pPr>
        <w:spacing w:after="0" w:line="240" w:lineRule="auto"/>
      </w:pPr>
      <w:r>
        <w:separator/>
      </w:r>
    </w:p>
  </w:footnote>
  <w:footnote w:type="continuationSeparator" w:id="0">
    <w:p w14:paraId="05B1A4CD" w14:textId="77777777" w:rsidR="0034013B" w:rsidRDefault="0034013B"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0AD9BF7C" w14:textId="77777777" w:rsidTr="29B8EDCE">
      <w:tc>
        <w:tcPr>
          <w:tcW w:w="3120" w:type="dxa"/>
        </w:tcPr>
        <w:p w14:paraId="342EFCAB" w14:textId="77777777" w:rsidR="29B8EDCE" w:rsidRDefault="29B8EDCE" w:rsidP="29B8EDCE">
          <w:pPr>
            <w:pStyle w:val="Header"/>
            <w:ind w:left="-115"/>
          </w:pPr>
        </w:p>
      </w:tc>
      <w:tc>
        <w:tcPr>
          <w:tcW w:w="3120" w:type="dxa"/>
        </w:tcPr>
        <w:p w14:paraId="099FF3D5" w14:textId="77777777" w:rsidR="29B8EDCE" w:rsidRDefault="29B8EDCE" w:rsidP="29B8EDCE">
          <w:pPr>
            <w:pStyle w:val="Header"/>
            <w:jc w:val="center"/>
          </w:pPr>
        </w:p>
      </w:tc>
      <w:tc>
        <w:tcPr>
          <w:tcW w:w="3120" w:type="dxa"/>
        </w:tcPr>
        <w:p w14:paraId="5859DF56" w14:textId="77777777" w:rsidR="29B8EDCE" w:rsidRDefault="29B8EDCE" w:rsidP="29B8EDCE">
          <w:pPr>
            <w:pStyle w:val="Header"/>
            <w:ind w:right="-115"/>
            <w:jc w:val="right"/>
          </w:pPr>
        </w:p>
      </w:tc>
    </w:tr>
  </w:tbl>
  <w:p w14:paraId="5E93B855"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366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EE"/>
    <w:rsid w:val="00003038"/>
    <w:rsid w:val="000103F1"/>
    <w:rsid w:val="000415A1"/>
    <w:rsid w:val="00096D30"/>
    <w:rsid w:val="000C2A66"/>
    <w:rsid w:val="000C69E2"/>
    <w:rsid w:val="000D6105"/>
    <w:rsid w:val="000E6FE3"/>
    <w:rsid w:val="000F314E"/>
    <w:rsid w:val="000F4B0A"/>
    <w:rsid w:val="00153E98"/>
    <w:rsid w:val="00171501"/>
    <w:rsid w:val="00171DA1"/>
    <w:rsid w:val="00186319"/>
    <w:rsid w:val="00192451"/>
    <w:rsid w:val="001A3D40"/>
    <w:rsid w:val="001D2E6F"/>
    <w:rsid w:val="001E0716"/>
    <w:rsid w:val="001E1294"/>
    <w:rsid w:val="00202AFF"/>
    <w:rsid w:val="00212F6C"/>
    <w:rsid w:val="00213F4B"/>
    <w:rsid w:val="00256F87"/>
    <w:rsid w:val="00276FA0"/>
    <w:rsid w:val="002A5F9C"/>
    <w:rsid w:val="002C1BFD"/>
    <w:rsid w:val="002D38BD"/>
    <w:rsid w:val="002D5C1E"/>
    <w:rsid w:val="002F490F"/>
    <w:rsid w:val="00307438"/>
    <w:rsid w:val="0034013B"/>
    <w:rsid w:val="0038178B"/>
    <w:rsid w:val="00386221"/>
    <w:rsid w:val="00394071"/>
    <w:rsid w:val="003A4975"/>
    <w:rsid w:val="003E181A"/>
    <w:rsid w:val="003F2F3B"/>
    <w:rsid w:val="00430528"/>
    <w:rsid w:val="0043236C"/>
    <w:rsid w:val="0045104D"/>
    <w:rsid w:val="004744A6"/>
    <w:rsid w:val="00477CD5"/>
    <w:rsid w:val="00482B78"/>
    <w:rsid w:val="00494CA2"/>
    <w:rsid w:val="004A0B23"/>
    <w:rsid w:val="004B43BA"/>
    <w:rsid w:val="004F639E"/>
    <w:rsid w:val="00540AB5"/>
    <w:rsid w:val="00565237"/>
    <w:rsid w:val="005A14D9"/>
    <w:rsid w:val="005C5E58"/>
    <w:rsid w:val="005F50DD"/>
    <w:rsid w:val="00607AA4"/>
    <w:rsid w:val="00615CFD"/>
    <w:rsid w:val="00624A2D"/>
    <w:rsid w:val="006312A6"/>
    <w:rsid w:val="00641E6C"/>
    <w:rsid w:val="00675DF6"/>
    <w:rsid w:val="00676EC1"/>
    <w:rsid w:val="006872CB"/>
    <w:rsid w:val="006A7422"/>
    <w:rsid w:val="006A751A"/>
    <w:rsid w:val="006D1167"/>
    <w:rsid w:val="006E33A3"/>
    <w:rsid w:val="00726D71"/>
    <w:rsid w:val="00745EAA"/>
    <w:rsid w:val="0077185F"/>
    <w:rsid w:val="00796D56"/>
    <w:rsid w:val="007D7E3C"/>
    <w:rsid w:val="007E0229"/>
    <w:rsid w:val="00827007"/>
    <w:rsid w:val="0083106C"/>
    <w:rsid w:val="00842C19"/>
    <w:rsid w:val="008440AD"/>
    <w:rsid w:val="008741E1"/>
    <w:rsid w:val="0088778A"/>
    <w:rsid w:val="008A4B17"/>
    <w:rsid w:val="008C2567"/>
    <w:rsid w:val="008C41B0"/>
    <w:rsid w:val="0090797E"/>
    <w:rsid w:val="009649D2"/>
    <w:rsid w:val="00970173"/>
    <w:rsid w:val="00976EBC"/>
    <w:rsid w:val="009D0A10"/>
    <w:rsid w:val="00A07D24"/>
    <w:rsid w:val="00A1610B"/>
    <w:rsid w:val="00A244F0"/>
    <w:rsid w:val="00A673D8"/>
    <w:rsid w:val="00A67546"/>
    <w:rsid w:val="00A70BC9"/>
    <w:rsid w:val="00A84CB6"/>
    <w:rsid w:val="00AA0E52"/>
    <w:rsid w:val="00AA67F6"/>
    <w:rsid w:val="00AE6529"/>
    <w:rsid w:val="00AE689F"/>
    <w:rsid w:val="00AF683A"/>
    <w:rsid w:val="00AF6E85"/>
    <w:rsid w:val="00B11272"/>
    <w:rsid w:val="00B20B9E"/>
    <w:rsid w:val="00B22F07"/>
    <w:rsid w:val="00B23B97"/>
    <w:rsid w:val="00B24840"/>
    <w:rsid w:val="00B47271"/>
    <w:rsid w:val="00B66281"/>
    <w:rsid w:val="00B70383"/>
    <w:rsid w:val="00B90911"/>
    <w:rsid w:val="00B94BFF"/>
    <w:rsid w:val="00BC6CA7"/>
    <w:rsid w:val="00BD044B"/>
    <w:rsid w:val="00BE1F52"/>
    <w:rsid w:val="00BF7D74"/>
    <w:rsid w:val="00C02F0C"/>
    <w:rsid w:val="00C755B8"/>
    <w:rsid w:val="00C80076"/>
    <w:rsid w:val="00CC4D31"/>
    <w:rsid w:val="00CD2CF3"/>
    <w:rsid w:val="00CE6FC2"/>
    <w:rsid w:val="00D035DD"/>
    <w:rsid w:val="00D07733"/>
    <w:rsid w:val="00D55799"/>
    <w:rsid w:val="00D63395"/>
    <w:rsid w:val="00D94F0D"/>
    <w:rsid w:val="00D96799"/>
    <w:rsid w:val="00DA210A"/>
    <w:rsid w:val="00DA6D3B"/>
    <w:rsid w:val="00DB46D9"/>
    <w:rsid w:val="00DC06E1"/>
    <w:rsid w:val="00DE48C2"/>
    <w:rsid w:val="00DE639C"/>
    <w:rsid w:val="00E01746"/>
    <w:rsid w:val="00E17E76"/>
    <w:rsid w:val="00E30FF3"/>
    <w:rsid w:val="00E73CC2"/>
    <w:rsid w:val="00E874AC"/>
    <w:rsid w:val="00E92CEE"/>
    <w:rsid w:val="00F4127E"/>
    <w:rsid w:val="00F414FF"/>
    <w:rsid w:val="00F54FED"/>
    <w:rsid w:val="00F57A81"/>
    <w:rsid w:val="00F63DB6"/>
    <w:rsid w:val="00F824AF"/>
    <w:rsid w:val="00F95BE6"/>
    <w:rsid w:val="00FB0E2A"/>
    <w:rsid w:val="00FC7791"/>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2238"/>
  <w15:chartTrackingRefBased/>
  <w15:docId w15:val="{848E7591-05A2-4348-A6AA-B69D9CA4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hischamberreports.com/" TargetMode="External"/><Relationship Id="rId18" Type="http://schemas.openxmlformats.org/officeDocument/2006/relationships/hyperlink" Target="https://www.linkedin.com/company/8356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mphischamberreports.com/automotive-suppliers-report/" TargetMode="External"/><Relationship Id="rId17" Type="http://schemas.openxmlformats.org/officeDocument/2006/relationships/hyperlink" Target="https://www.facebook.com/memphischamber" TargetMode="External"/><Relationship Id="rId2" Type="http://schemas.openxmlformats.org/officeDocument/2006/relationships/customXml" Target="../customXml/item2.xml"/><Relationship Id="rId16" Type="http://schemas.openxmlformats.org/officeDocument/2006/relationships/hyperlink" Target="https://twitter.com/memphischamber" TargetMode="External"/><Relationship Id="rId20" Type="http://schemas.openxmlformats.org/officeDocument/2006/relationships/hyperlink" Target="https://lp.constantcontactpages.com/su/uQL7BSu?source_id=d1b09dc9-c5c6-468a-803d-9f8f7d3b08eb&amp;source_type=em&amp;c=poGe9f2ekl9acrR-Omg8jezlGh8BmWaoebgrgca2jedp5npJcs4FK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mphismove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memphischa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poe\Desktop\www.memphischamber.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3.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E4CEC-8D9B-4DE6-B405-E70F094B0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Release template</Template>
  <TotalTime>314</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6</cp:revision>
  <dcterms:created xsi:type="dcterms:W3CDTF">2023-04-17T13:02:00Z</dcterms:created>
  <dcterms:modified xsi:type="dcterms:W3CDTF">2023-04-19T01:44:00Z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